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3E07B714" w:rsidR="00814393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#93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r w:rsidRPr="00F03ABB">
        <w:rPr>
          <w:rFonts w:cs="Arial"/>
          <w:b/>
          <w:bCs/>
          <w:sz w:val="28"/>
        </w:rPr>
        <w:t>R1-180</w:t>
      </w:r>
      <w:r w:rsidR="009D1C3A">
        <w:rPr>
          <w:rFonts w:cs="Arial"/>
          <w:b/>
          <w:bCs/>
          <w:sz w:val="28"/>
        </w:rPr>
        <w:t>7567</w:t>
      </w:r>
    </w:p>
    <w:p w14:paraId="4F7B9D0C" w14:textId="77777777" w:rsidR="00814393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Busan, Korea, May 21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 xml:space="preserve"> – 25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05665A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2453F2">
        <w:rPr>
          <w:rFonts w:cs="Arial"/>
          <w:b/>
          <w:lang w:val="en-US"/>
        </w:rPr>
        <w:t>Rel-14 NPRS enhancements</w:t>
      </w:r>
    </w:p>
    <w:p w14:paraId="408AF7E9" w14:textId="5F7C45A9" w:rsidR="002453F2" w:rsidRPr="002453F2" w:rsidRDefault="002453F2" w:rsidP="002453F2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>
        <w:rPr>
          <w:rFonts w:cs="Arial"/>
          <w:b/>
          <w:lang w:val="en-US"/>
        </w:rPr>
        <w:t>Reply to</w:t>
      </w:r>
      <w:r w:rsidRPr="00A10FDA">
        <w:rPr>
          <w:rFonts w:cs="Arial"/>
          <w:b/>
          <w:lang w:val="en-US"/>
        </w:rPr>
        <w:t>:</w:t>
      </w:r>
      <w:r w:rsidRPr="00A10FDA">
        <w:rPr>
          <w:rFonts w:cs="Arial"/>
          <w:b/>
          <w:lang w:val="en-US"/>
        </w:rPr>
        <w:tab/>
      </w:r>
      <w:r w:rsidR="00E05027" w:rsidRPr="00E05027">
        <w:rPr>
          <w:rFonts w:eastAsiaTheme="minorEastAsia" w:cs="Arial"/>
          <w:b/>
          <w:lang w:val="en-US"/>
        </w:rPr>
        <w:t>R1-1805</w:t>
      </w:r>
      <w:r w:rsidR="00621FC9">
        <w:rPr>
          <w:rFonts w:eastAsiaTheme="minorEastAsia" w:cs="Arial"/>
          <w:b/>
          <w:lang w:val="en-US"/>
        </w:rPr>
        <w:t>576</w:t>
      </w:r>
      <w:r w:rsidR="009D1C3A">
        <w:rPr>
          <w:rFonts w:eastAsiaTheme="minorEastAsia" w:cs="Arial"/>
          <w:b/>
          <w:lang w:val="en-US"/>
        </w:rPr>
        <w:t xml:space="preserve"> (</w:t>
      </w:r>
      <w:r w:rsidR="009D1C3A" w:rsidRPr="009D1C3A">
        <w:rPr>
          <w:rFonts w:eastAsiaTheme="minorEastAsia" w:cs="Arial"/>
          <w:b/>
          <w:lang w:val="en-US"/>
        </w:rPr>
        <w:t>R4-1805486</w:t>
      </w:r>
      <w:r w:rsidR="009D1C3A">
        <w:rPr>
          <w:rFonts w:eastAsiaTheme="minorEastAsia" w:cs="Arial"/>
          <w:b/>
          <w:lang w:val="en-US"/>
        </w:rPr>
        <w:t>)</w:t>
      </w:r>
    </w:p>
    <w:p w14:paraId="34BFE103" w14:textId="7BE5F8E9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2453F2">
        <w:rPr>
          <w:rFonts w:eastAsiaTheme="minorEastAsia" w:cs="Arial"/>
          <w:b/>
          <w:lang w:val="en-US"/>
        </w:rPr>
        <w:t>4</w:t>
      </w:r>
    </w:p>
    <w:p w14:paraId="402804C2" w14:textId="1278216F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2453F2" w:rsidRPr="002453F2">
        <w:rPr>
          <w:b/>
          <w:lang w:val="en-US"/>
        </w:rPr>
        <w:t>NB_IOT</w:t>
      </w:r>
      <w:bookmarkStart w:id="1" w:name="_GoBack"/>
      <w:bookmarkEnd w:id="1"/>
      <w:r w:rsidR="002453F2" w:rsidRPr="002453F2">
        <w:rPr>
          <w:b/>
          <w:lang w:val="en-US"/>
        </w:rPr>
        <w:t>enh2-Core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50EF03B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9D1C3A">
        <w:rPr>
          <w:rFonts w:cs="Arial"/>
          <w:b/>
          <w:bCs/>
          <w:lang w:val="en-US"/>
        </w:rPr>
        <w:t>RAN1</w:t>
      </w:r>
    </w:p>
    <w:p w14:paraId="524FBF42" w14:textId="20423E35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  <w:r w:rsidR="002453F2">
        <w:rPr>
          <w:rFonts w:eastAsiaTheme="minorEastAsia" w:cs="Arial"/>
          <w:b/>
          <w:bCs/>
          <w:lang w:val="en-US"/>
        </w:rPr>
        <w:t>, RAN4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14EC4FDA" w14:textId="76455D9C" w:rsidR="00E05027" w:rsidRDefault="001946C0" w:rsidP="00E05027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discussed the NPRS performance issues brought up in LS </w:t>
      </w:r>
      <w:r w:rsidRPr="00E05027">
        <w:rPr>
          <w:rFonts w:cs="Arial"/>
          <w:iCs/>
          <w:lang w:val="en-US" w:eastAsia="ko-KR"/>
        </w:rPr>
        <w:t>R</w:t>
      </w:r>
      <w:r w:rsidR="00E05027" w:rsidRPr="00E05027">
        <w:rPr>
          <w:rFonts w:cs="Arial"/>
          <w:iCs/>
          <w:lang w:val="en-US" w:eastAsia="ko-KR"/>
        </w:rPr>
        <w:t>1</w:t>
      </w:r>
      <w:r w:rsidRPr="00E05027">
        <w:rPr>
          <w:rFonts w:cs="Arial"/>
          <w:iCs/>
          <w:lang w:val="en-US" w:eastAsia="ko-KR"/>
        </w:rPr>
        <w:t>-</w:t>
      </w:r>
      <w:r w:rsidR="00E05027" w:rsidRPr="00E05027">
        <w:rPr>
          <w:rFonts w:cs="Arial"/>
          <w:iCs/>
          <w:lang w:val="en-US" w:eastAsia="ko-KR"/>
        </w:rPr>
        <w:t>1805</w:t>
      </w:r>
      <w:r w:rsidR="00621FC9">
        <w:rPr>
          <w:rFonts w:cs="Arial"/>
          <w:iCs/>
          <w:lang w:val="en-US" w:eastAsia="ko-KR"/>
        </w:rPr>
        <w:t>576</w:t>
      </w:r>
      <w:r w:rsidRPr="00E05027">
        <w:rPr>
          <w:rFonts w:cs="Arial"/>
          <w:iCs/>
          <w:lang w:val="en-US" w:eastAsia="ko-KR"/>
        </w:rPr>
        <w:t>.</w:t>
      </w:r>
      <w:r w:rsidRPr="001946C0">
        <w:rPr>
          <w:rFonts w:cs="Arial"/>
          <w:iCs/>
          <w:lang w:val="en-US" w:eastAsia="ko-KR"/>
        </w:rPr>
        <w:t xml:space="preserve"> </w:t>
      </w:r>
      <w:r>
        <w:rPr>
          <w:rFonts w:cs="Arial"/>
          <w:iCs/>
          <w:lang w:val="en-US" w:eastAsia="ko-KR"/>
        </w:rPr>
        <w:t xml:space="preserve">To solve this issue, RAN1 </w:t>
      </w:r>
      <w:r w:rsidR="00E05027">
        <w:rPr>
          <w:rFonts w:cs="Arial"/>
          <w:iCs/>
          <w:lang w:val="en-US" w:eastAsia="ko-KR"/>
        </w:rPr>
        <w:t xml:space="preserve">agreed </w:t>
      </w:r>
      <w:r>
        <w:rPr>
          <w:rFonts w:cs="Arial"/>
          <w:iCs/>
          <w:lang w:val="en-US" w:eastAsia="ko-KR"/>
        </w:rPr>
        <w:t>to introduce a new NPRS sequence</w:t>
      </w:r>
      <w:r w:rsidR="00E05027">
        <w:rPr>
          <w:rFonts w:cs="Arial"/>
          <w:iCs/>
          <w:lang w:val="en-US" w:eastAsia="ko-KR"/>
        </w:rPr>
        <w:t>. RAN1 made the following agreements regarding the configuration of the new NPRS sequence in different types of NB-IoT carriers:</w:t>
      </w:r>
    </w:p>
    <w:p w14:paraId="48C0132B" w14:textId="77777777" w:rsidR="00E05027" w:rsidRPr="001946C0" w:rsidRDefault="00E05027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For guard band and standalone</w:t>
      </w:r>
      <w:r>
        <w:rPr>
          <w:rFonts w:cs="Arial"/>
          <w:iCs/>
          <w:lang w:val="en-US" w:eastAsia="ko-KR"/>
        </w:rPr>
        <w:t xml:space="preserve"> NB-IoT carriers</w:t>
      </w:r>
      <w:r w:rsidRPr="001946C0">
        <w:rPr>
          <w:rFonts w:cs="Arial"/>
          <w:iCs/>
          <w:lang w:val="en-US" w:eastAsia="ko-KR"/>
        </w:rPr>
        <w:t>, the UE is not expected to be configured with a legacy NPRS sequence.</w:t>
      </w:r>
    </w:p>
    <w:p w14:paraId="0BAC4293" w14:textId="5DF12E29" w:rsidR="00E05027" w:rsidRPr="001946C0" w:rsidRDefault="00E05027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 xml:space="preserve">For in-band the UE can be configured with </w:t>
      </w:r>
      <w:r w:rsidR="002A26E2">
        <w:rPr>
          <w:rFonts w:cs="Arial"/>
          <w:iCs/>
          <w:lang w:val="en-US" w:eastAsia="ko-KR"/>
        </w:rPr>
        <w:t xml:space="preserve">only </w:t>
      </w:r>
      <w:r>
        <w:rPr>
          <w:rFonts w:cs="Arial"/>
          <w:iCs/>
          <w:lang w:val="en-US" w:eastAsia="ko-KR"/>
        </w:rPr>
        <w:t xml:space="preserve">the </w:t>
      </w:r>
      <w:r w:rsidRPr="001946C0">
        <w:rPr>
          <w:rFonts w:cs="Arial"/>
          <w:iCs/>
          <w:lang w:val="en-US" w:eastAsia="ko-KR"/>
        </w:rPr>
        <w:t xml:space="preserve">new NPRS sequence, </w:t>
      </w:r>
      <w:r w:rsidR="002A26E2">
        <w:rPr>
          <w:rFonts w:cs="Arial"/>
          <w:iCs/>
          <w:lang w:val="en-US" w:eastAsia="ko-KR"/>
        </w:rPr>
        <w:t xml:space="preserve">only </w:t>
      </w:r>
      <w:r>
        <w:rPr>
          <w:rFonts w:cs="Arial"/>
          <w:iCs/>
          <w:lang w:val="en-US" w:eastAsia="ko-KR"/>
        </w:rPr>
        <w:t xml:space="preserve">the </w:t>
      </w:r>
      <w:r w:rsidRPr="001946C0">
        <w:rPr>
          <w:rFonts w:cs="Arial"/>
          <w:iCs/>
          <w:lang w:val="en-US" w:eastAsia="ko-KR"/>
        </w:rPr>
        <w:t>legacy NPRS sequence, or both.</w:t>
      </w:r>
    </w:p>
    <w:p w14:paraId="6A82AEBB" w14:textId="77777777" w:rsidR="00E05027" w:rsidRPr="001946C0" w:rsidRDefault="00E05027" w:rsidP="00E05027">
      <w:pPr>
        <w:pStyle w:val="ListParagraph"/>
        <w:numPr>
          <w:ilvl w:val="1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NOTE: The legacy NPRS sequence is intended to be us</w:t>
      </w:r>
      <w:r>
        <w:rPr>
          <w:rFonts w:cs="Arial"/>
          <w:iCs/>
          <w:lang w:val="en-US" w:eastAsia="ko-KR"/>
        </w:rPr>
        <w:t>ed for NPRS within a wideband PRS.</w:t>
      </w:r>
    </w:p>
    <w:p w14:paraId="0AD47BE3" w14:textId="77777777" w:rsidR="00E05027" w:rsidRDefault="00E05027" w:rsidP="00CC527D">
      <w:pPr>
        <w:rPr>
          <w:rFonts w:cs="Arial"/>
          <w:iCs/>
          <w:lang w:val="en-US" w:eastAsia="ko-KR"/>
        </w:rPr>
      </w:pPr>
    </w:p>
    <w:p w14:paraId="442B82E7" w14:textId="4C4B8F55" w:rsidR="00CC527D" w:rsidRDefault="00E05027" w:rsidP="00CC527D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Additionally, RAN1 made an agreement on the details for the NPRS sequence:</w:t>
      </w:r>
    </w:p>
    <w:p w14:paraId="5DE36592" w14:textId="77BC8919" w:rsidR="001946C0" w:rsidRDefault="001946C0" w:rsidP="00CC527D">
      <w:pPr>
        <w:rPr>
          <w:rFonts w:cs="Arial"/>
          <w:iCs/>
          <w:lang w:val="en-US" w:eastAsia="ko-KR"/>
        </w:rPr>
      </w:pPr>
    </w:p>
    <w:p w14:paraId="04ED65B5" w14:textId="50182215" w:rsidR="002124F3" w:rsidRPr="001946C0" w:rsidRDefault="00627A9A" w:rsidP="001946C0">
      <w:pPr>
        <w:numPr>
          <w:ilvl w:val="0"/>
          <w:numId w:val="38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The new NPRS sequence is generated by changing current NPRS mapping</w:t>
      </w:r>
      <w:r w:rsidRPr="001946C0">
        <w:rPr>
          <w:rFonts w:cs="Arial"/>
          <w:iCs/>
          <w:lang w:eastAsia="ko-KR"/>
        </w:rPr>
        <w:t xml:space="preserve"> to resource elements</w:t>
      </w:r>
      <w:r w:rsidRPr="001946C0">
        <w:rPr>
          <w:rFonts w:cs="Arial"/>
          <w:iCs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k,l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(p)</m:t>
            </m:r>
          </m:sup>
        </m:sSubSup>
        <m:r>
          <m:rPr>
            <m:sty m:val="bi"/>
          </m:rPr>
          <w:rPr>
            <w:rFonts w:ascii="Cambria Math" w:hAnsi="Cambria Math" w:cs="Arial"/>
            <w:lang w:val="en-US" w:eastAsia="ko-KR"/>
          </w:rPr>
          <m:t>=</m:t>
        </m:r>
        <m:sSub>
          <m:sSub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l,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  <w:lang w:val="en-US"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dPr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lang w:val="en-US" w:eastAsia="ko-K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lang w:val="sv-SE" w:eastAsia="ko-KR"/>
              </w:rPr>
              <m:t> </m:t>
            </m:r>
          </m:e>
        </m:d>
      </m:oMath>
      <w:r w:rsidRPr="001946C0">
        <w:rPr>
          <w:rFonts w:cs="Arial"/>
          <w:iCs/>
          <w:lang w:eastAsia="ko-KR"/>
        </w:rPr>
        <w:t xml:space="preserve"> in TS 36.211 Section 10.2.6A.2 to</w:t>
      </w:r>
    </w:p>
    <w:p w14:paraId="48E053C6" w14:textId="44CDFCE2" w:rsidR="001946C0" w:rsidRPr="001946C0" w:rsidRDefault="00183779" w:rsidP="001946C0">
      <w:pPr>
        <w:ind w:left="720"/>
        <w:rPr>
          <w:rFonts w:cs="Arial"/>
          <w:iCs/>
          <w:lang w:val="en-US" w:eastAsia="ko-KR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k,l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(p)</m:t>
              </m:r>
            </m:sup>
          </m:sSubSup>
          <m:r>
            <m:rPr>
              <m:sty m:val="bi"/>
            </m:rPr>
            <w:rPr>
              <w:rFonts w:ascii="Cambria Math" w:hAnsi="Cambria Math" w:cs="Arial"/>
              <w:lang w:eastAsia="ko-KR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l,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dPr>
            <m:e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ko-KR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Arial" w:hint="eastAsia"/>
                      <w:lang w:eastAsia="ko-KR"/>
                    </w:rPr>
                    <m:t>×</m:t>
                  </m:r>
                  <m:r>
                    <m:rPr>
                      <m:sty m:val="bi"/>
                    </m:rPr>
                    <w:rPr>
                      <w:rFonts w:ascii="Cambria Math" w:hAnsi="Cambria Math" w:cs="Arial" w:hint="eastAsia"/>
                      <w:lang w:eastAsia="ko-KR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sv-SE" w:eastAsia="ko-KR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vertAlign w:val="subscript"/>
                      <w:lang w:val="sv-SE" w:eastAsia="ko-KR"/>
                    </w:rPr>
                    <m:t>f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sv-SE" w:eastAsia="ko-KR"/>
                    </w:rPr>
                    <m:t> mod 64) 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mod 220</m:t>
              </m:r>
            </m:e>
          </m:d>
        </m:oMath>
      </m:oMathPara>
    </w:p>
    <w:p w14:paraId="16E475FA" w14:textId="77777777" w:rsidR="001946C0" w:rsidRDefault="001946C0" w:rsidP="00CC527D">
      <w:pPr>
        <w:rPr>
          <w:rFonts w:cs="Arial"/>
          <w:iCs/>
          <w:lang w:val="en-US" w:eastAsia="ko-KR"/>
        </w:rPr>
      </w:pPr>
    </w:p>
    <w:p w14:paraId="7F19F7E8" w14:textId="77777777" w:rsidR="001946C0" w:rsidRDefault="001946C0" w:rsidP="001946C0">
      <w:pPr>
        <w:ind w:firstLine="567"/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48332B75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2C3837">
        <w:rPr>
          <w:rFonts w:cs="Arial"/>
          <w:iCs/>
          <w:lang w:val="en-US"/>
        </w:rPr>
        <w:t>implement the signaling to support the new NPRS sequence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E6491D8" w14:textId="39CF7674" w:rsidR="002C3837" w:rsidRPr="00A10FDA" w:rsidRDefault="002C3837" w:rsidP="002C3837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>
        <w:rPr>
          <w:rFonts w:eastAsiaTheme="minorEastAsia" w:cs="Arial"/>
          <w:b/>
          <w:lang w:val="en-US"/>
        </w:rPr>
        <w:t>3</w:t>
      </w:r>
      <w:r w:rsidRPr="00A10FDA">
        <w:rPr>
          <w:rFonts w:eastAsiaTheme="minorEastAsia" w:cs="Arial"/>
          <w:b/>
          <w:lang w:val="en-US"/>
        </w:rPr>
        <w:t xml:space="preserve">. </w:t>
      </w:r>
      <w:r w:rsidRPr="00A10FDA">
        <w:rPr>
          <w:rFonts w:cs="Arial"/>
          <w:b/>
          <w:lang w:val="en-US"/>
        </w:rPr>
        <w:t>Actions to RAN</w:t>
      </w:r>
      <w:r w:rsidR="00621FC9">
        <w:rPr>
          <w:rFonts w:cs="Arial"/>
          <w:b/>
          <w:lang w:val="en-US"/>
        </w:rPr>
        <w:t>4</w:t>
      </w:r>
      <w:r w:rsidRPr="00A10FDA">
        <w:rPr>
          <w:rFonts w:cs="Arial"/>
          <w:b/>
          <w:lang w:val="en-US"/>
        </w:rPr>
        <w:t>:</w:t>
      </w:r>
    </w:p>
    <w:p w14:paraId="7BD7BC6D" w14:textId="66046800" w:rsidR="002C3837" w:rsidRDefault="002C3837" w:rsidP="002C3837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to </w:t>
      </w:r>
      <w:r>
        <w:rPr>
          <w:rFonts w:cs="Arial"/>
          <w:iCs/>
          <w:lang w:val="en-US"/>
        </w:rPr>
        <w:t>take the above into account.</w:t>
      </w:r>
    </w:p>
    <w:p w14:paraId="2291A533" w14:textId="77777777" w:rsidR="002C3837" w:rsidRPr="00A10FDA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3DDD2F54" w:rsidR="00502DE9" w:rsidRPr="00A10FDA" w:rsidRDefault="002C3837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4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1E56C" w14:textId="77777777" w:rsidR="00183779" w:rsidRDefault="00183779">
      <w:r>
        <w:separator/>
      </w:r>
    </w:p>
  </w:endnote>
  <w:endnote w:type="continuationSeparator" w:id="0">
    <w:p w14:paraId="7FB0435A" w14:textId="77777777" w:rsidR="00183779" w:rsidRDefault="0018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5D8AB" w14:textId="77777777" w:rsidR="00183779" w:rsidRDefault="00183779">
      <w:r>
        <w:separator/>
      </w:r>
    </w:p>
  </w:footnote>
  <w:footnote w:type="continuationSeparator" w:id="0">
    <w:p w14:paraId="2E6351D3" w14:textId="77777777" w:rsidR="00183779" w:rsidRDefault="00183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6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7"/>
  </w:num>
  <w:num w:numId="28">
    <w:abstractNumId w:val="39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8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83779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1C3A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9AC19-3815-42C9-9888-525E5D60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2</cp:revision>
  <cp:lastPrinted>2008-01-31T06:09:00Z</cp:lastPrinted>
  <dcterms:created xsi:type="dcterms:W3CDTF">2018-05-24T05:33:00Z</dcterms:created>
  <dcterms:modified xsi:type="dcterms:W3CDTF">2018-05-24T05:33:00Z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